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75" w:rsidRDefault="00446075" w:rsidP="00446075">
      <w:pPr>
        <w:pStyle w:val="a3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Style w:val="a4"/>
          <w:rFonts w:ascii="Verdana" w:hAnsi="Verdana" w:cs="Tahoma"/>
          <w:color w:val="000000"/>
          <w:sz w:val="20"/>
          <w:szCs w:val="20"/>
        </w:rPr>
        <w:t xml:space="preserve">РАЗЪЯСНЕНИЯ ФАС РОССИИ О РАЗМЕЩЕНИИ РЕКЛАМЫ НА ДОРОЖНЫХ ЗНАКАХ  АК/15418 от 25.04.2011 </w:t>
      </w:r>
    </w:p>
    <w:p w:rsidR="00446075" w:rsidRDefault="00446075" w:rsidP="00446075">
      <w:pPr>
        <w:pStyle w:val="a3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0"/>
          <w:szCs w:val="20"/>
        </w:rPr>
        <w:t>О рекламе на дорожных знаках</w:t>
      </w:r>
    </w:p>
    <w:p w:rsidR="00446075" w:rsidRDefault="00446075" w:rsidP="00446075">
      <w:pPr>
        <w:pStyle w:val="a3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0"/>
          <w:szCs w:val="20"/>
        </w:rPr>
        <w:t>ФАС России направляет разъяснение относительно размещения рекламы на знаке дорожного движения, его опоре.</w:t>
      </w:r>
    </w:p>
    <w:p w:rsidR="00446075" w:rsidRDefault="00446075" w:rsidP="00446075">
      <w:pPr>
        <w:pStyle w:val="a3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0"/>
          <w:szCs w:val="20"/>
        </w:rPr>
        <w:t>Согласно части 3 статьи 19 Федерального закона «О рекламе» распространение рекламы на знаке дорожного движения, его опоре или любом ином приспособлении, предназначенном для регулирования дорожного движения, не допускается.</w:t>
      </w:r>
    </w:p>
    <w:p w:rsidR="00446075" w:rsidRDefault="00446075" w:rsidP="00446075">
      <w:pPr>
        <w:pStyle w:val="a3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0"/>
          <w:szCs w:val="20"/>
        </w:rPr>
        <w:t>Указанная норма статьи 19 Федерального закона «О рекламе» соотносится с положениями международной Конвенции о дорожном движении, подписанной СССР 08.11.1968, вступившей в силу с 21.05.1977 и действующей для России.</w:t>
      </w:r>
    </w:p>
    <w:p w:rsidR="00446075" w:rsidRDefault="00446075" w:rsidP="00446075">
      <w:pPr>
        <w:pStyle w:val="a3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0"/>
          <w:szCs w:val="20"/>
        </w:rPr>
        <w:t>Согласно статье 4 указанной Конвенции договаривающиеся стороны обязуются принять меры к тому, чтобы было запрещено помещать на сигнальном знаке, на его опоре или любом другом приспособлении, предназначенном для регулирования движения, что-либо, что не имеет отношения к назначению этого сигнального знака или приспособления.</w:t>
      </w:r>
    </w:p>
    <w:p w:rsidR="00446075" w:rsidRDefault="00446075" w:rsidP="00446075">
      <w:pPr>
        <w:pStyle w:val="a3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0"/>
          <w:szCs w:val="20"/>
        </w:rPr>
        <w:t>В соответствии со статьёй 3 Федерального закона «О рекламе» реклама – это информация, распространённая любым способом, в любой форме и с использованием любых средств, адресованная неопределённому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рынке. При этом под объектом рекламирования понимается товар, средства индивидуализации юридического лица и (или) товара, изготовитель или продавец товара, результаты интеллектуальной деятельности либо мероприятие (в том числе спортивное соревнование, концерт, конкурс, фестиваль, основанные на риске игры, пари), на привлечение внимания к которым направлена реклама.</w:t>
      </w:r>
    </w:p>
    <w:p w:rsidR="00446075" w:rsidRDefault="00446075" w:rsidP="00446075">
      <w:pPr>
        <w:pStyle w:val="a3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0"/>
          <w:szCs w:val="20"/>
        </w:rPr>
        <w:t>Соответственно, к рекламе относятся направленные на продвижение на рынке адресованные неопределённому кругу лиц сведения о:</w:t>
      </w:r>
    </w:p>
    <w:p w:rsidR="00446075" w:rsidRDefault="00446075" w:rsidP="00446075">
      <w:pPr>
        <w:pStyle w:val="a3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- </w:t>
      </w:r>
      <w:proofErr w:type="gramStart"/>
      <w:r>
        <w:rPr>
          <w:rFonts w:ascii="Verdana" w:hAnsi="Verdana" w:cs="Tahoma"/>
          <w:color w:val="000000"/>
          <w:sz w:val="20"/>
          <w:szCs w:val="20"/>
        </w:rPr>
        <w:t>наименовании</w:t>
      </w:r>
      <w:proofErr w:type="gramEnd"/>
      <w:r>
        <w:rPr>
          <w:rFonts w:ascii="Verdana" w:hAnsi="Verdana" w:cs="Tahoma"/>
          <w:color w:val="000000"/>
          <w:sz w:val="20"/>
          <w:szCs w:val="20"/>
        </w:rPr>
        <w:t xml:space="preserve"> товара и/или его описании, характеристиках, свойствах,</w:t>
      </w:r>
    </w:p>
    <w:p w:rsidR="00446075" w:rsidRDefault="00446075" w:rsidP="00446075">
      <w:pPr>
        <w:pStyle w:val="a3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- </w:t>
      </w:r>
      <w:proofErr w:type="gramStart"/>
      <w:r>
        <w:rPr>
          <w:rFonts w:ascii="Verdana" w:hAnsi="Verdana" w:cs="Tahoma"/>
          <w:color w:val="000000"/>
          <w:sz w:val="20"/>
          <w:szCs w:val="20"/>
        </w:rPr>
        <w:t>наименовании</w:t>
      </w:r>
      <w:proofErr w:type="gramEnd"/>
      <w:r>
        <w:rPr>
          <w:rFonts w:ascii="Verdana" w:hAnsi="Verdana" w:cs="Tahoma"/>
          <w:color w:val="000000"/>
          <w:sz w:val="20"/>
          <w:szCs w:val="20"/>
        </w:rPr>
        <w:t xml:space="preserve"> юридического лица или названия его торгового предприятия, в том числе с указанием профиля его деятельности, контактной информацией,</w:t>
      </w:r>
    </w:p>
    <w:p w:rsidR="00446075" w:rsidRDefault="00446075" w:rsidP="00446075">
      <w:pPr>
        <w:pStyle w:val="a3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- </w:t>
      </w:r>
      <w:proofErr w:type="gramStart"/>
      <w:r>
        <w:rPr>
          <w:rFonts w:ascii="Verdana" w:hAnsi="Verdana" w:cs="Tahoma"/>
          <w:color w:val="000000"/>
          <w:sz w:val="20"/>
          <w:szCs w:val="20"/>
        </w:rPr>
        <w:t>результатах</w:t>
      </w:r>
      <w:proofErr w:type="gramEnd"/>
      <w:r>
        <w:rPr>
          <w:rFonts w:ascii="Verdana" w:hAnsi="Verdana" w:cs="Tahoma"/>
          <w:color w:val="000000"/>
          <w:sz w:val="20"/>
          <w:szCs w:val="20"/>
        </w:rPr>
        <w:t xml:space="preserve"> интеллектуальной деятельности, в частности произведениях науки, литературы и искусства; программах для электронных вычислительных машин; базах данных; изобретениях,</w:t>
      </w:r>
    </w:p>
    <w:p w:rsidR="00446075" w:rsidRDefault="00446075" w:rsidP="00446075">
      <w:pPr>
        <w:pStyle w:val="a3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- </w:t>
      </w:r>
      <w:proofErr w:type="gramStart"/>
      <w:r>
        <w:rPr>
          <w:rFonts w:ascii="Verdana" w:hAnsi="Verdana" w:cs="Tahoma"/>
          <w:color w:val="000000"/>
          <w:sz w:val="20"/>
          <w:szCs w:val="20"/>
        </w:rPr>
        <w:t>названии</w:t>
      </w:r>
      <w:proofErr w:type="gramEnd"/>
      <w:r>
        <w:rPr>
          <w:rFonts w:ascii="Verdana" w:hAnsi="Verdana" w:cs="Tahoma"/>
          <w:color w:val="000000"/>
          <w:sz w:val="20"/>
          <w:szCs w:val="20"/>
        </w:rPr>
        <w:t xml:space="preserve"> мероприятия любого характера (культурном, спортивном и т.п.), его описании, в том числе о месте и сроках его проведения.</w:t>
      </w:r>
    </w:p>
    <w:p w:rsidR="00446075" w:rsidRDefault="00446075" w:rsidP="00446075">
      <w:pPr>
        <w:pStyle w:val="a3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0"/>
          <w:szCs w:val="20"/>
        </w:rPr>
        <w:t>Учитывая изложенное, в соответствии со статьёй 19 Федерального закона «О рекламе» на знаке дорожного движения, его опоре или любом ином приспособлении, предназначенном для регулирования дорожного движения, не допускается, в частности, размещение следующей информации:</w:t>
      </w:r>
    </w:p>
    <w:p w:rsidR="00446075" w:rsidRDefault="00446075" w:rsidP="00446075">
      <w:pPr>
        <w:pStyle w:val="a3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- наименование юридического лица, индивидуального предпринимателя или название торгового предприятия данного лица, независимо от указания или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неуказания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 xml:space="preserve"> также профиля деятельности данного лица, контактной информации, производимых или реализуемых товаров, иных сведений (например, «Аптека 36,6», «Автозаправочная </w:t>
      </w:r>
      <w:r>
        <w:rPr>
          <w:rFonts w:ascii="Verdana" w:hAnsi="Verdana" w:cs="Tahoma"/>
          <w:color w:val="000000"/>
          <w:sz w:val="20"/>
          <w:szCs w:val="20"/>
        </w:rPr>
        <w:lastRenderedPageBreak/>
        <w:t>станция ТНК-ВР», «36,6», «ТНК-ВР», «Гипермаркет Ашан – 2 км», «ИКЕА 150 м», «Парикмахерская Золушка, тел</w:t>
      </w:r>
      <w:proofErr w:type="gramStart"/>
      <w:r>
        <w:rPr>
          <w:rFonts w:ascii="Verdana" w:hAnsi="Verdana" w:cs="Tahoma"/>
          <w:color w:val="000000"/>
          <w:sz w:val="20"/>
          <w:szCs w:val="20"/>
        </w:rPr>
        <w:t>.***-**-**»);</w:t>
      </w:r>
      <w:proofErr w:type="gramEnd"/>
    </w:p>
    <w:p w:rsidR="00446075" w:rsidRDefault="00446075" w:rsidP="00446075">
      <w:pPr>
        <w:pStyle w:val="a3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- наименование товара, иные средства индивидуализации товара (в том числе товарный знак, логотип), независимо от указания или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неуказания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 xml:space="preserve"> вида товара, мест реализации данного товара, описания его свойств и иных сведений (например, «Аленка», «Шоколад Аленка», «Мегафон – в салонах Связной»).</w:t>
      </w:r>
    </w:p>
    <w:p w:rsidR="00446075" w:rsidRDefault="00446075" w:rsidP="00446075">
      <w:pPr>
        <w:pStyle w:val="a3"/>
        <w:jc w:val="both"/>
        <w:rPr>
          <w:rFonts w:ascii="Verdana" w:hAnsi="Verdana" w:cs="Tahoma"/>
          <w:color w:val="000000"/>
          <w:sz w:val="18"/>
          <w:szCs w:val="18"/>
        </w:rPr>
      </w:pPr>
      <w:proofErr w:type="gramStart"/>
      <w:r>
        <w:rPr>
          <w:rFonts w:ascii="Verdana" w:hAnsi="Verdana" w:cs="Tahoma"/>
          <w:color w:val="000000"/>
          <w:sz w:val="20"/>
          <w:szCs w:val="20"/>
        </w:rPr>
        <w:t>При этом ФАС России обращает внимание, что указание исключительно на профиль деятельности организации «Аптека», «Супермаркет», «Салон красоты» (т.е. без указания обозначения, индивидуализирующего данную организацию, - наименования, товарного знака), в том числе с указанием направления движения к данным объектам, не подпадает под понятие рекламы, и размещение такой информации на опорах знаков дорожного движения статья 19 Федерального закона «О рекламе» не запрещает</w:t>
      </w:r>
      <w:proofErr w:type="gramEnd"/>
      <w:r>
        <w:rPr>
          <w:rFonts w:ascii="Verdana" w:hAnsi="Verdana" w:cs="Tahoma"/>
          <w:color w:val="000000"/>
          <w:sz w:val="20"/>
          <w:szCs w:val="20"/>
        </w:rPr>
        <w:t xml:space="preserve">. Кроме того, не подпадает под указанный запрет статьи 19 Федерального закона «О рекламе» размещение информации об объектах транспортной инфраструктуры, в том числе имеющих собственное обозначение (например, «Аэропорт Домодедово», «Курский вокзал»), направленной на указание места нахождения данных объектов и не содержащей сведений рекламного характера (таких </w:t>
      </w:r>
      <w:proofErr w:type="gramStart"/>
      <w:r>
        <w:rPr>
          <w:rFonts w:ascii="Verdana" w:hAnsi="Verdana" w:cs="Tahoma"/>
          <w:color w:val="000000"/>
          <w:sz w:val="20"/>
          <w:szCs w:val="20"/>
        </w:rPr>
        <w:t>как</w:t>
      </w:r>
      <w:proofErr w:type="gramEnd"/>
      <w:r>
        <w:rPr>
          <w:rFonts w:ascii="Verdana" w:hAnsi="Verdana" w:cs="Tahoma"/>
          <w:color w:val="000000"/>
          <w:sz w:val="20"/>
          <w:szCs w:val="20"/>
        </w:rPr>
        <w:t xml:space="preserve"> например, дата образования данного объекта или его характеристики, описание).</w:t>
      </w:r>
    </w:p>
    <w:p w:rsidR="00446075" w:rsidRDefault="00446075" w:rsidP="00446075">
      <w:pPr>
        <w:pStyle w:val="a3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В Российской Федерации действует ГОСТ </w:t>
      </w:r>
      <w:proofErr w:type="gramStart"/>
      <w:r>
        <w:rPr>
          <w:rFonts w:ascii="Verdana" w:hAnsi="Verdana" w:cs="Tahoma"/>
          <w:color w:val="000000"/>
          <w:sz w:val="20"/>
          <w:szCs w:val="20"/>
        </w:rPr>
        <w:t>Р</w:t>
      </w:r>
      <w:proofErr w:type="gramEnd"/>
      <w:r>
        <w:rPr>
          <w:rFonts w:ascii="Verdana" w:hAnsi="Verdana" w:cs="Tahoma"/>
          <w:color w:val="000000"/>
          <w:sz w:val="20"/>
          <w:szCs w:val="20"/>
        </w:rPr>
        <w:t xml:space="preserve"> 52289-2004 «Технические средства организации дорожного движения. </w:t>
      </w:r>
      <w:proofErr w:type="gramStart"/>
      <w:r>
        <w:rPr>
          <w:rFonts w:ascii="Verdana" w:hAnsi="Verdana" w:cs="Tahoma"/>
          <w:color w:val="000000"/>
          <w:sz w:val="20"/>
          <w:szCs w:val="20"/>
        </w:rPr>
        <w:t xml:space="preserve">Правила применения дорожных знаков, разметки, светофоров, дорожных ограждений и направляющих устройств», утверждённый приказом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Ростехрегулирования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 xml:space="preserve"> от 15.12.2004 № 120-ст, положения которого допускают размещение информации об объектах притяжения участников дорожного движения (адрес, телефон, вид деятельности, направление движения, расстояние до объекта, прочая информация, в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т.ч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>. графическая) совместно со знаками 6.9.1, 6.9.2, 6.10.1, 6.12, при соблюдении определённых условий.</w:t>
      </w:r>
      <w:proofErr w:type="gramEnd"/>
    </w:p>
    <w:p w:rsidR="00446075" w:rsidRDefault="00446075" w:rsidP="00446075">
      <w:pPr>
        <w:pStyle w:val="a3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0"/>
          <w:szCs w:val="20"/>
        </w:rPr>
        <w:t>Однако Федеральный закон «О рекламе» имеет более высокую юридическую силу, чем указанный ГОСТ.</w:t>
      </w:r>
    </w:p>
    <w:p w:rsidR="00446075" w:rsidRDefault="00446075" w:rsidP="00446075">
      <w:pPr>
        <w:pStyle w:val="a3"/>
        <w:jc w:val="both"/>
        <w:rPr>
          <w:rFonts w:ascii="Verdana" w:hAnsi="Verdana" w:cs="Tahoma"/>
          <w:color w:val="000000"/>
          <w:sz w:val="18"/>
          <w:szCs w:val="18"/>
        </w:rPr>
      </w:pPr>
      <w:proofErr w:type="gramStart"/>
      <w:r>
        <w:rPr>
          <w:rFonts w:ascii="Verdana" w:hAnsi="Verdana" w:cs="Tahoma"/>
          <w:color w:val="000000"/>
          <w:sz w:val="20"/>
          <w:szCs w:val="20"/>
        </w:rPr>
        <w:t>Согласно части 2 статьи 40 Федерального закона «О рекламе» впредь до приведения законов и иных нормативных правовых актов Российской Федерации, действующих на территории Российской Федерации и регулирующих отношения в сфере рекламы, в соответствие с настоящим Федеральным законом указанные законы и иные нормативные правовые акты применяются постольку, поскольку они не противоречат данному Федеральному закону.</w:t>
      </w:r>
      <w:proofErr w:type="gramEnd"/>
    </w:p>
    <w:p w:rsidR="00446075" w:rsidRDefault="00446075" w:rsidP="00446075">
      <w:pPr>
        <w:pStyle w:val="a3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0"/>
          <w:szCs w:val="20"/>
        </w:rPr>
        <w:t>Соответственно, положения ГОСТа применяются в части, не противоречащей Федеральному закону «О рекламе».</w:t>
      </w:r>
    </w:p>
    <w:p w:rsidR="00446075" w:rsidRDefault="00446075" w:rsidP="00446075">
      <w:pPr>
        <w:pStyle w:val="a3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0"/>
          <w:szCs w:val="20"/>
        </w:rPr>
        <w:t>Кроме того, указанный ГОСТ принят в виде национального стандарта, соответственно в силу части 2 статьи 15 Федерального закона «О техническом регулировании» он применяется на добровольной основе.</w:t>
      </w:r>
    </w:p>
    <w:p w:rsidR="00446075" w:rsidRDefault="00446075" w:rsidP="00446075">
      <w:pPr>
        <w:pStyle w:val="a3"/>
        <w:jc w:val="both"/>
        <w:rPr>
          <w:rFonts w:ascii="Verdana" w:hAnsi="Verdana" w:cs="Tahoma"/>
          <w:color w:val="000000"/>
          <w:sz w:val="18"/>
          <w:szCs w:val="18"/>
        </w:rPr>
      </w:pPr>
      <w:proofErr w:type="gramStart"/>
      <w:r>
        <w:rPr>
          <w:rFonts w:ascii="Verdana" w:hAnsi="Verdana" w:cs="Tahoma"/>
          <w:color w:val="000000"/>
          <w:sz w:val="20"/>
          <w:szCs w:val="20"/>
        </w:rPr>
        <w:t>Учитывая изложенное, несмотря на наличие возможности размещения рекламы на дорожных знаках, закреплённой в указанном ГОСТе, подлежит применению запрет на размещение рекламы на знаке дорожного движения, его опоре или любом ином приспособлении, предназначенном для регулирования дорожного движения, установленный в Федеральном законе «О рекламе».</w:t>
      </w:r>
      <w:proofErr w:type="gramEnd"/>
    </w:p>
    <w:p w:rsidR="00446075" w:rsidRDefault="00446075" w:rsidP="00446075">
      <w:pPr>
        <w:pStyle w:val="a3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0"/>
          <w:szCs w:val="20"/>
        </w:rPr>
        <w:t>ФАС России ранее письмом исх. № АК/26563 от 10.08.2009 территориальным органам разъяснял о невозможности привлечения к административной ответственности за нарушение статьи 19 Федерального закона «О рекламе».</w:t>
      </w:r>
    </w:p>
    <w:p w:rsidR="00446075" w:rsidRDefault="00446075" w:rsidP="00446075">
      <w:pPr>
        <w:pStyle w:val="a3"/>
        <w:jc w:val="both"/>
        <w:rPr>
          <w:rFonts w:ascii="Verdana" w:hAnsi="Verdana" w:cs="Tahoma"/>
          <w:color w:val="000000"/>
          <w:sz w:val="18"/>
          <w:szCs w:val="18"/>
        </w:rPr>
      </w:pPr>
      <w:proofErr w:type="gramStart"/>
      <w:r>
        <w:rPr>
          <w:rFonts w:ascii="Verdana" w:hAnsi="Verdana" w:cs="Tahoma"/>
          <w:color w:val="000000"/>
          <w:sz w:val="20"/>
          <w:szCs w:val="20"/>
        </w:rPr>
        <w:lastRenderedPageBreak/>
        <w:t>Вместе с тем, с 31 марта 2010 года вступили в силу изменения в Кодекс Российской Федерации об административных правонарушениях (далее – КоАП), согласно которым в Кодексе появилась статья 14.38, часть 1 которой предусматривает самостоятельный состав такого вида нарушения законодательства о рекламе, как размещение рекламы на знаке дорожного движения, его опоре или ином любом приспособлении, предназначенном для регулирования дорожного движения, санкция за</w:t>
      </w:r>
      <w:proofErr w:type="gramEnd"/>
      <w:r>
        <w:rPr>
          <w:rFonts w:ascii="Verdana" w:hAnsi="Verdana" w:cs="Tahoma"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 w:cs="Tahoma"/>
          <w:color w:val="000000"/>
          <w:sz w:val="20"/>
          <w:szCs w:val="20"/>
        </w:rPr>
        <w:t>нарушение</w:t>
      </w:r>
      <w:proofErr w:type="gramEnd"/>
      <w:r>
        <w:rPr>
          <w:rFonts w:ascii="Verdana" w:hAnsi="Verdana" w:cs="Tahoma"/>
          <w:color w:val="000000"/>
          <w:sz w:val="20"/>
          <w:szCs w:val="20"/>
        </w:rPr>
        <w:t xml:space="preserve"> которой установлена в виде административного штрафа в размере от двух тысяч до двух тысяч пятисот рублей (для граждан); от десяти тысяч до пятнадцати тысяч рублей (для должностных лиц); от ста тысяч до двухсот тысяч рублей (для юридических лиц).</w:t>
      </w:r>
    </w:p>
    <w:p w:rsidR="00446075" w:rsidRDefault="00446075" w:rsidP="00446075">
      <w:pPr>
        <w:pStyle w:val="a3"/>
        <w:jc w:val="both"/>
        <w:rPr>
          <w:rFonts w:ascii="Verdana" w:hAnsi="Verdana" w:cs="Tahoma"/>
          <w:color w:val="000000"/>
          <w:sz w:val="18"/>
          <w:szCs w:val="18"/>
        </w:rPr>
      </w:pPr>
      <w:proofErr w:type="gramStart"/>
      <w:r>
        <w:rPr>
          <w:rFonts w:ascii="Verdana" w:hAnsi="Verdana" w:cs="Tahoma"/>
          <w:color w:val="000000"/>
          <w:sz w:val="20"/>
          <w:szCs w:val="20"/>
        </w:rPr>
        <w:t>В соответствии со статьями 23.48, 28.3 (часть 1 и пункт 1 части 2) КоАП наделены полномочиями по составлению протоколов об административном правонарушении за нарушение части 1 статьи 14.38 КоАП должностные лица антимонопольных органов и органов внутренних дел (полиции), а рассмотрение дел об административном правонарушении (и вынесение постановлений о наложении штрафов) осуществляют антимонопольные органы.</w:t>
      </w:r>
      <w:proofErr w:type="gramEnd"/>
    </w:p>
    <w:p w:rsidR="00446075" w:rsidRDefault="00446075" w:rsidP="00446075">
      <w:pPr>
        <w:pStyle w:val="a3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Статьёй 38 Федерального закона «О рекламе» субъект ответственности за нарушение части 3 статьи 19 Федерального закона «О рекламе» прямо не установлен. </w:t>
      </w:r>
      <w:proofErr w:type="gramStart"/>
      <w:r>
        <w:rPr>
          <w:rFonts w:ascii="Verdana" w:hAnsi="Verdana" w:cs="Tahoma"/>
          <w:color w:val="000000"/>
          <w:sz w:val="20"/>
          <w:szCs w:val="20"/>
        </w:rPr>
        <w:t xml:space="preserve">В то же время Верховный Суд Российской Федерации в определении от 14 января 2009 года № 5-Г08-105 по заявлению о признании недействующей статьи 8.6 Закона Москвы от 21.11.2007 № 45 «Кодекс города Москвы об административных правонарушениях» указывает, что части 6-8 статьи 38 Федерального закона «О рекламе» лишь разграничивают ответственность рекламодателя,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рекламораспространителя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 xml:space="preserve"> и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рекламопроизводителя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 xml:space="preserve"> за нарушение некоторых требований Федерального закона «О рекламе», но</w:t>
      </w:r>
      <w:proofErr w:type="gramEnd"/>
      <w:r>
        <w:rPr>
          <w:rFonts w:ascii="Verdana" w:hAnsi="Verdana" w:cs="Tahoma"/>
          <w:color w:val="000000"/>
          <w:sz w:val="20"/>
          <w:szCs w:val="20"/>
        </w:rPr>
        <w:t xml:space="preserve"> не устанавливают исчерпывающий перечень тех нарушений законодательства Российской Федерации о рекламе, которые могут повлечь за собой ответственность в соответствии с законодательством Российской Федерации об административных правонарушениях.</w:t>
      </w:r>
    </w:p>
    <w:p w:rsidR="00446075" w:rsidRDefault="00446075" w:rsidP="00446075">
      <w:pPr>
        <w:pStyle w:val="a3"/>
        <w:jc w:val="both"/>
        <w:rPr>
          <w:rFonts w:ascii="Verdana" w:hAnsi="Verdana" w:cs="Tahoma"/>
          <w:color w:val="000000"/>
          <w:sz w:val="18"/>
          <w:szCs w:val="18"/>
        </w:rPr>
      </w:pPr>
      <w:proofErr w:type="gramStart"/>
      <w:r>
        <w:rPr>
          <w:rFonts w:ascii="Verdana" w:hAnsi="Verdana" w:cs="Tahoma"/>
          <w:color w:val="000000"/>
          <w:sz w:val="20"/>
          <w:szCs w:val="20"/>
        </w:rPr>
        <w:t>По смыслу части 1 статьи 19 Федерального закона «О рекламе» распоряжение рекламной конструкцией (определение места её расположения и внешнего вида, принятие решения о присоединении к определённому объекту, в том числе знаку дорожного движения, его опоре или любому иному приспособлению, предназначенному для регулирования дорожного движения) осуществляется владельцем рекламной конструкции либо с его ведома.</w:t>
      </w:r>
      <w:proofErr w:type="gramEnd"/>
      <w:r>
        <w:rPr>
          <w:rFonts w:ascii="Verdana" w:hAnsi="Verdana" w:cs="Tahoma"/>
          <w:color w:val="000000"/>
          <w:sz w:val="20"/>
          <w:szCs w:val="20"/>
        </w:rPr>
        <w:t xml:space="preserve"> Указанное лицо признаётся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рекламораспространителем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>.</w:t>
      </w:r>
    </w:p>
    <w:p w:rsidR="00446075" w:rsidRDefault="00446075" w:rsidP="00446075">
      <w:pPr>
        <w:pStyle w:val="a3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С учётом изложенного, по мнению специалистов ФАС России, субъектом правонарушения за нарушение части 1 статьи 14.38 КоАП будет являться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рекламораспространитель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>, владелец рекламной конструкции.</w:t>
      </w:r>
    </w:p>
    <w:p w:rsidR="00446075" w:rsidRDefault="00446075" w:rsidP="00446075">
      <w:pPr>
        <w:pStyle w:val="a3"/>
        <w:jc w:val="both"/>
        <w:rPr>
          <w:rFonts w:ascii="Verdana" w:hAnsi="Verdana" w:cs="Tahom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0"/>
          <w:szCs w:val="20"/>
        </w:rPr>
        <w:t xml:space="preserve">Соответственно, в случае выявления фактов размещения рекламы на знаке дорожного движения, его опоре или любом ином приспособлении, предназначенном для регулирования дорожного движения, дело об административном правонарушении возбуждается в отношении </w:t>
      </w:r>
      <w:proofErr w:type="spellStart"/>
      <w:r>
        <w:rPr>
          <w:rFonts w:ascii="Verdana" w:hAnsi="Verdana" w:cs="Tahoma"/>
          <w:color w:val="000000"/>
          <w:sz w:val="20"/>
          <w:szCs w:val="20"/>
        </w:rPr>
        <w:t>рекламораспространителя</w:t>
      </w:r>
      <w:proofErr w:type="spellEnd"/>
      <w:r>
        <w:rPr>
          <w:rFonts w:ascii="Verdana" w:hAnsi="Verdana" w:cs="Tahoma"/>
          <w:color w:val="000000"/>
          <w:sz w:val="20"/>
          <w:szCs w:val="20"/>
        </w:rPr>
        <w:t xml:space="preserve"> (владельца рекламной конструкции), в отношении которого выносится постановление в соответствии с положениями части 1 статьи 14.38 КоАП.</w:t>
      </w:r>
    </w:p>
    <w:p w:rsidR="002F7CE5" w:rsidRDefault="002F7CE5">
      <w:bookmarkStart w:id="0" w:name="_GoBack"/>
      <w:bookmarkEnd w:id="0"/>
    </w:p>
    <w:sectPr w:rsidR="002F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75"/>
    <w:rsid w:val="002F7CE5"/>
    <w:rsid w:val="0044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0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0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1</cp:revision>
  <dcterms:created xsi:type="dcterms:W3CDTF">2014-06-20T16:57:00Z</dcterms:created>
  <dcterms:modified xsi:type="dcterms:W3CDTF">2014-06-20T16:59:00Z</dcterms:modified>
</cp:coreProperties>
</file>